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47F26"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Пояснительная записка </w:t>
      </w:r>
    </w:p>
    <w:p w14:paraId="358EB58A" w14:textId="77777777" w:rsidR="003029B8" w:rsidRDefault="003029B8" w:rsidP="003029B8">
      <w:pPr>
        <w:widowControl/>
        <w:autoSpaceDE/>
        <w:adjustRightInd/>
        <w:jc w:val="center"/>
        <w:rPr>
          <w:rFonts w:ascii="Times New Roman" w:hAnsi="Times New Roman" w:cs="Times New Roman"/>
          <w:b/>
          <w:sz w:val="24"/>
          <w:szCs w:val="24"/>
        </w:rPr>
      </w:pPr>
      <w:r>
        <w:rPr>
          <w:rFonts w:ascii="Times New Roman" w:hAnsi="Times New Roman" w:cs="Times New Roman"/>
          <w:b/>
          <w:sz w:val="24"/>
          <w:szCs w:val="24"/>
        </w:rPr>
        <w:t xml:space="preserve">к проекту национального стандарта </w:t>
      </w:r>
    </w:p>
    <w:p w14:paraId="1E119155" w14:textId="5043D04F" w:rsidR="003029B8" w:rsidRDefault="003029B8" w:rsidP="00AD2407">
      <w:pPr>
        <w:jc w:val="center"/>
        <w:rPr>
          <w:rFonts w:ascii="Times New Roman" w:hAnsi="Times New Roman" w:cs="Times New Roman"/>
          <w:b/>
          <w:sz w:val="24"/>
          <w:szCs w:val="24"/>
        </w:rPr>
      </w:pPr>
      <w:r>
        <w:rPr>
          <w:rFonts w:ascii="Times New Roman" w:hAnsi="Times New Roman" w:cs="Times New Roman"/>
          <w:b/>
          <w:sz w:val="24"/>
          <w:szCs w:val="24"/>
        </w:rPr>
        <w:t xml:space="preserve">СТ РК </w:t>
      </w:r>
      <w:r w:rsidR="009110C3" w:rsidRPr="009110C3">
        <w:rPr>
          <w:rFonts w:ascii="Times New Roman" w:hAnsi="Times New Roman" w:cs="Times New Roman"/>
          <w:b/>
          <w:sz w:val="24"/>
          <w:szCs w:val="24"/>
        </w:rPr>
        <w:t>ISO 8536-</w:t>
      </w:r>
      <w:r w:rsidR="00AD2407">
        <w:rPr>
          <w:rFonts w:ascii="Times New Roman" w:hAnsi="Times New Roman" w:cs="Times New Roman"/>
          <w:b/>
          <w:sz w:val="24"/>
          <w:szCs w:val="24"/>
        </w:rPr>
        <w:t>7</w:t>
      </w:r>
      <w:r w:rsidR="009110C3">
        <w:rPr>
          <w:rFonts w:ascii="Times New Roman" w:hAnsi="Times New Roman" w:cs="Times New Roman"/>
          <w:b/>
          <w:sz w:val="24"/>
          <w:szCs w:val="24"/>
        </w:rPr>
        <w:t xml:space="preserve"> </w:t>
      </w:r>
      <w:r>
        <w:rPr>
          <w:rFonts w:ascii="Times New Roman" w:hAnsi="Times New Roman" w:cs="Times New Roman"/>
          <w:b/>
          <w:sz w:val="24"/>
          <w:szCs w:val="24"/>
        </w:rPr>
        <w:t>«</w:t>
      </w:r>
      <w:r w:rsidR="00AD2407" w:rsidRPr="00AD2407">
        <w:rPr>
          <w:rFonts w:ascii="Times New Roman" w:hAnsi="Times New Roman" w:cs="Times New Roman"/>
          <w:b/>
          <w:sz w:val="24"/>
          <w:szCs w:val="24"/>
        </w:rPr>
        <w:t>Контейнеры для инъекций и принадлежности. Часть 7. Колпачки для инъекций, изготовленные из комбинаций алюминия и пластика без перекрывающихся пластиковых частей</w:t>
      </w:r>
      <w:r>
        <w:rPr>
          <w:rFonts w:ascii="Times New Roman" w:hAnsi="Times New Roman" w:cs="Times New Roman"/>
          <w:b/>
          <w:sz w:val="24"/>
          <w:szCs w:val="24"/>
        </w:rPr>
        <w:t>»</w:t>
      </w:r>
    </w:p>
    <w:p w14:paraId="06FE4683" w14:textId="77777777" w:rsidR="00FA2282" w:rsidRDefault="00FA2282" w:rsidP="00FA2282">
      <w:pPr>
        <w:widowControl/>
        <w:autoSpaceDE/>
        <w:adjustRightInd/>
        <w:jc w:val="center"/>
        <w:rPr>
          <w:rFonts w:ascii="Times New Roman" w:hAnsi="Times New Roman" w:cs="Times New Roman"/>
          <w:b/>
          <w:sz w:val="24"/>
          <w:szCs w:val="24"/>
        </w:rPr>
      </w:pPr>
    </w:p>
    <w:p w14:paraId="553F47E6" w14:textId="0251FADD" w:rsidR="003029B8" w:rsidRPr="00FA2282" w:rsidRDefault="003029B8" w:rsidP="003029B8">
      <w:pPr>
        <w:widowControl/>
        <w:autoSpaceDE/>
        <w:adjustRightInd/>
        <w:ind w:firstLine="720"/>
        <w:rPr>
          <w:rFonts w:ascii="Times New Roman" w:hAnsi="Times New Roman" w:cs="Times New Roman"/>
          <w:b/>
          <w:sz w:val="24"/>
          <w:szCs w:val="24"/>
        </w:rPr>
      </w:pPr>
      <w:r>
        <w:rPr>
          <w:rFonts w:ascii="Times New Roman" w:hAnsi="Times New Roman" w:cs="Times New Roman"/>
          <w:b/>
          <w:sz w:val="24"/>
          <w:szCs w:val="24"/>
        </w:rPr>
        <w:t xml:space="preserve">1 </w:t>
      </w:r>
      <w:r w:rsidRPr="00FA2282">
        <w:rPr>
          <w:rFonts w:ascii="Times New Roman" w:hAnsi="Times New Roman" w:cs="Times New Roman"/>
          <w:b/>
          <w:sz w:val="24"/>
          <w:szCs w:val="24"/>
        </w:rPr>
        <w:t xml:space="preserve">Техническое обоснование разработки стандарта </w:t>
      </w:r>
    </w:p>
    <w:p w14:paraId="54ADBD4B" w14:textId="77777777" w:rsidR="003029B8" w:rsidRPr="00FA2282" w:rsidRDefault="003029B8" w:rsidP="003029B8">
      <w:pPr>
        <w:widowControl/>
        <w:autoSpaceDE/>
        <w:adjustRightInd/>
        <w:jc w:val="center"/>
        <w:rPr>
          <w:rFonts w:ascii="Times New Roman" w:hAnsi="Times New Roman" w:cs="Times New Roman"/>
          <w:b/>
          <w:sz w:val="24"/>
          <w:szCs w:val="24"/>
          <w:lang w:val="kk-KZ"/>
        </w:rPr>
      </w:pPr>
    </w:p>
    <w:p w14:paraId="408BDF4F" w14:textId="02DB8B20" w:rsidR="009110C3" w:rsidRPr="009110C3" w:rsidRDefault="009110C3" w:rsidP="009110C3">
      <w:pPr>
        <w:ind w:firstLine="567"/>
        <w:jc w:val="both"/>
        <w:rPr>
          <w:rFonts w:ascii="Times New Roman" w:hAnsi="Times New Roman" w:cs="Times New Roman"/>
          <w:sz w:val="24"/>
          <w:szCs w:val="24"/>
          <w:lang w:eastAsia="zh-CN"/>
        </w:rPr>
      </w:pPr>
      <w:r w:rsidRPr="009110C3">
        <w:rPr>
          <w:rFonts w:ascii="Times New Roman" w:hAnsi="Times New Roman" w:cs="Times New Roman"/>
          <w:sz w:val="24"/>
          <w:szCs w:val="24"/>
          <w:lang w:eastAsia="zh-CN"/>
        </w:rPr>
        <w:t>Разработка документа по стандартизации необходима для обеспечения реализации Указа</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Президента Республики Казахстан от 19 декабря 2014 года № 980 «О подписании Соглашения о</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единых принципах и правилах обращения медицинских изделий (изделий медицинского</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назначения и медицинской техники) в рамках Евразийского экономического союза».</w:t>
      </w:r>
    </w:p>
    <w:p w14:paraId="01A0EEEC" w14:textId="1319B38D" w:rsidR="009110C3" w:rsidRDefault="009110C3" w:rsidP="009110C3">
      <w:pPr>
        <w:ind w:firstLine="567"/>
        <w:jc w:val="both"/>
        <w:rPr>
          <w:rFonts w:ascii="Times New Roman" w:hAnsi="Times New Roman" w:cs="Times New Roman"/>
          <w:sz w:val="24"/>
          <w:szCs w:val="24"/>
          <w:lang w:eastAsia="zh-CN"/>
        </w:rPr>
      </w:pPr>
      <w:r w:rsidRPr="009110C3">
        <w:rPr>
          <w:rFonts w:ascii="Times New Roman" w:hAnsi="Times New Roman" w:cs="Times New Roman"/>
          <w:sz w:val="24"/>
          <w:szCs w:val="24"/>
          <w:lang w:eastAsia="zh-CN"/>
        </w:rPr>
        <w:t>Разработка документа по стандартизации необходима для развития отечественного</w:t>
      </w:r>
      <w:r>
        <w:rPr>
          <w:rFonts w:ascii="Times New Roman" w:hAnsi="Times New Roman" w:cs="Times New Roman"/>
          <w:sz w:val="24"/>
          <w:szCs w:val="24"/>
          <w:lang w:eastAsia="zh-CN"/>
        </w:rPr>
        <w:t xml:space="preserve"> </w:t>
      </w:r>
      <w:r w:rsidRPr="009110C3">
        <w:rPr>
          <w:rFonts w:ascii="Times New Roman" w:hAnsi="Times New Roman" w:cs="Times New Roman"/>
          <w:sz w:val="24"/>
          <w:szCs w:val="24"/>
          <w:lang w:eastAsia="zh-CN"/>
        </w:rPr>
        <w:t>производства медицинских изделий.</w:t>
      </w:r>
    </w:p>
    <w:p w14:paraId="28C5D5D8" w14:textId="77777777" w:rsidR="00AD2407" w:rsidRPr="00AD2407" w:rsidRDefault="00AD2407" w:rsidP="00AD2407">
      <w:pPr>
        <w:ind w:firstLine="567"/>
        <w:jc w:val="both"/>
        <w:rPr>
          <w:rFonts w:ascii="Times New Roman" w:hAnsi="Times New Roman" w:cs="Times New Roman"/>
          <w:sz w:val="24"/>
          <w:szCs w:val="24"/>
          <w:lang w:eastAsia="zh-CN"/>
        </w:rPr>
      </w:pPr>
      <w:bookmarkStart w:id="0" w:name="_Hlk48056585"/>
      <w:r w:rsidRPr="00AD2407">
        <w:rPr>
          <w:rFonts w:ascii="Times New Roman" w:hAnsi="Times New Roman" w:cs="Times New Roman"/>
          <w:sz w:val="24"/>
          <w:szCs w:val="24"/>
          <w:lang w:eastAsia="zh-CN"/>
        </w:rPr>
        <w:t xml:space="preserve">Материалы, из которых изготавливаются емкости для инъекций (включая резиновые крышки), соответствуют первичным упаковочным материалам для хранения инъецируемых веществ вплоть до их применения. В настоящем стандарте крышки для инъекционных флаконов не рассматриваются как первичные упаковочные материалы, находящиеся в непосредственном контакте с фармацевтическими препаратами. </w:t>
      </w:r>
    </w:p>
    <w:p w14:paraId="48A98706"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 xml:space="preserve">Могут возникнуть трудности при использовании инъекционных флаконов 2R и 4R, соответствующих ISO 8362-1, инъекционных флаконов 6R, 8R, 10l, 5HY, 7H и 8H, соответствующих ISO 8362-1 и ISO 8362-4 соответственно, и крышек, сделанных из сочетания алюминия и пластмассы, для инъекционных флаконов, так как диаметр d2 пластмассового элемента больше, чем диаметр d корпуса инъекционного флакона. </w:t>
      </w:r>
    </w:p>
    <w:p w14:paraId="150C7A3D"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Материалы, из которых изготовлены стеклянные инфузионные флаконы (включая эластомерные крышки), являются основными упаковочными материалами, подходящими для хранения инфузионных растворов до введения. Однако в этой части ISO 8536 крышки из комбинаций алюминия и пластика не считаются первичными упаковочными материалами, находящимися в непосредственном контакте с инфузионным раствором.</w:t>
      </w:r>
    </w:p>
    <w:p w14:paraId="1ABA2FC8"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Требования к пластиковым компонентам и сочетание пластикового компонента и алюминиевой крышки должны соответствовать ISO 10985. Конструктивные элементы, проникающие во внутреннюю полость алюминиевой крышки, не будут мешать процессу герметизации. Для обеспечения герметизации систем укупорки контейнеров размеры эластомерных укупорочных средств должны соответствовать размерам пивных бутылок и укупорочных средств, как указано в соответствующих разделах ISO 8536.</w:t>
      </w:r>
    </w:p>
    <w:p w14:paraId="73C7D947"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Компоненты первичной упаковки, изготовленные из эластомерных материалов, являются неотъемлемой частью лекарственных средств, и поэтому к производству этих компонентов применяются существующие принципы надлежащей производственной практики (</w:t>
      </w:r>
      <w:proofErr w:type="spellStart"/>
      <w:r w:rsidRPr="00AD2407">
        <w:rPr>
          <w:rFonts w:ascii="Times New Roman" w:hAnsi="Times New Roman" w:cs="Times New Roman"/>
          <w:sz w:val="24"/>
          <w:szCs w:val="24"/>
          <w:lang w:eastAsia="zh-CN"/>
        </w:rPr>
        <w:t>cGMP</w:t>
      </w:r>
      <w:proofErr w:type="spellEnd"/>
      <w:r w:rsidRPr="00AD2407">
        <w:rPr>
          <w:rFonts w:ascii="Times New Roman" w:hAnsi="Times New Roman" w:cs="Times New Roman"/>
          <w:sz w:val="24"/>
          <w:szCs w:val="24"/>
          <w:lang w:eastAsia="zh-CN"/>
        </w:rPr>
        <w:t>).</w:t>
      </w:r>
    </w:p>
    <w:p w14:paraId="54E77FE3"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Инфузионная терапия в основном используется для лечения серьезных или хронических заболеваний и инфекций, которые не реагируют на пероральные антибиотики. Есть много случаев болезненных состояний и инфекций, которые последовательно лечат с помощью инфузионной терапии. Сюда входят различные виды рака, инфекции желудочно-кишечного тракта, болезнь Крона, язвенный колит и воспалительное заболевание кишечника.</w:t>
      </w:r>
    </w:p>
    <w:p w14:paraId="2AADDCEE"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Для того чтобы избежать проблем в процессе автоматической работы, например при маркировке флакона или при промежуточном хранении на поворотном столе, крышки, сделанные из сочетания алюминия и пластмассы, для инъекционных флаконов, конструируются таким образом, чтобы пластмассовые элементы не выходили за диаметр корпуса флакона.</w:t>
      </w:r>
    </w:p>
    <w:bookmarkEnd w:id="0"/>
    <w:p w14:paraId="22B8A1C5" w14:textId="4B18CA7F" w:rsidR="00FA2282" w:rsidRPr="00D44AC5" w:rsidRDefault="00FA2282" w:rsidP="00FA2282">
      <w:pPr>
        <w:ind w:firstLine="567"/>
        <w:jc w:val="both"/>
        <w:rPr>
          <w:rFonts w:ascii="Times New Roman" w:hAnsi="Times New Roman" w:cs="Times New Roman"/>
          <w:sz w:val="24"/>
          <w:szCs w:val="24"/>
          <w:lang w:eastAsia="zh-CN"/>
        </w:rPr>
      </w:pPr>
      <w:r w:rsidRPr="00D44AC5">
        <w:rPr>
          <w:rFonts w:ascii="Times New Roman" w:hAnsi="Times New Roman" w:cs="Times New Roman"/>
          <w:sz w:val="24"/>
          <w:szCs w:val="24"/>
          <w:lang w:eastAsia="zh-CN"/>
        </w:rPr>
        <w:t xml:space="preserve">Заявителем разрабатываемого стандарта является </w:t>
      </w:r>
      <w:r w:rsidR="009110C3" w:rsidRPr="009110C3">
        <w:rPr>
          <w:rFonts w:ascii="Times New Roman" w:hAnsi="Times New Roman" w:cs="Times New Roman"/>
          <w:sz w:val="24"/>
          <w:szCs w:val="24"/>
          <w:lang w:eastAsia="zh-CN"/>
        </w:rPr>
        <w:t xml:space="preserve">ОЮЛ «Ассоциация </w:t>
      </w:r>
      <w:r w:rsidR="009110C3" w:rsidRPr="009110C3">
        <w:rPr>
          <w:rFonts w:ascii="Times New Roman" w:hAnsi="Times New Roman" w:cs="Times New Roman"/>
          <w:sz w:val="24"/>
          <w:szCs w:val="24"/>
          <w:lang w:eastAsia="zh-CN"/>
        </w:rPr>
        <w:lastRenderedPageBreak/>
        <w:t>производителей медицинских изделий»</w:t>
      </w:r>
      <w:r w:rsidR="009110C3">
        <w:rPr>
          <w:rFonts w:ascii="Times New Roman" w:hAnsi="Times New Roman" w:cs="Times New Roman"/>
          <w:sz w:val="24"/>
          <w:szCs w:val="24"/>
          <w:lang w:eastAsia="zh-CN"/>
        </w:rPr>
        <w:t>.</w:t>
      </w:r>
    </w:p>
    <w:p w14:paraId="35059080" w14:textId="77777777" w:rsidR="003F7768" w:rsidRPr="00B726C7" w:rsidRDefault="003F7768" w:rsidP="003F7768">
      <w:pPr>
        <w:rPr>
          <w:rFonts w:ascii="Times New Roman" w:hAnsi="Times New Roman" w:cs="Times New Roman"/>
          <w:sz w:val="24"/>
          <w:szCs w:val="24"/>
        </w:rPr>
      </w:pPr>
    </w:p>
    <w:p w14:paraId="214F328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2 Основание для разработки стандарта с указанием соответствующего задания</w:t>
      </w:r>
    </w:p>
    <w:p w14:paraId="7652B0EB"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p>
    <w:p w14:paraId="7674AA41" w14:textId="18E4209B" w:rsidR="00D44AC5" w:rsidRDefault="00132982" w:rsidP="00132982">
      <w:pPr>
        <w:ind w:firstLine="567"/>
        <w:jc w:val="both"/>
        <w:rPr>
          <w:rFonts w:ascii="Times New Roman" w:hAnsi="Times New Roman" w:cs="Times New Roman"/>
          <w:sz w:val="24"/>
          <w:szCs w:val="24"/>
          <w:lang w:eastAsia="zh-CN"/>
        </w:rPr>
      </w:pPr>
      <w:r w:rsidRPr="00132982">
        <w:rPr>
          <w:rFonts w:ascii="Times New Roman" w:hAnsi="Times New Roman" w:cs="Times New Roman"/>
          <w:sz w:val="24"/>
          <w:szCs w:val="24"/>
          <w:lang w:eastAsia="zh-CN"/>
        </w:rPr>
        <w:t>Национальный план стандартизации на 2023 год, утвержденный приказом Председателя Комитета технического регулирования и метрологии Министерства торговли и интеграции Республики Казахстан № 433-НҚ от 20.12.2022 г.</w:t>
      </w:r>
    </w:p>
    <w:p w14:paraId="02C3A0E5" w14:textId="77777777" w:rsidR="00132982" w:rsidRPr="00132982" w:rsidRDefault="00132982" w:rsidP="00132982">
      <w:pPr>
        <w:ind w:firstLine="567"/>
        <w:jc w:val="both"/>
        <w:rPr>
          <w:rFonts w:ascii="Times New Roman" w:hAnsi="Times New Roman" w:cs="Times New Roman"/>
          <w:sz w:val="24"/>
          <w:szCs w:val="24"/>
          <w:lang w:eastAsia="zh-CN"/>
        </w:rPr>
      </w:pPr>
    </w:p>
    <w:p w14:paraId="6EE3DA9F" w14:textId="77777777" w:rsidR="00FA2282" w:rsidRPr="00D44AC5" w:rsidRDefault="00FA2282" w:rsidP="00FA2282">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3 Характеристика объекта стандартизации</w:t>
      </w:r>
    </w:p>
    <w:p w14:paraId="364702D1" w14:textId="77777777" w:rsidR="00FA2282" w:rsidRPr="00D44AC5" w:rsidRDefault="00FA2282" w:rsidP="00FA2282">
      <w:pPr>
        <w:ind w:firstLine="567"/>
        <w:jc w:val="both"/>
        <w:rPr>
          <w:rFonts w:ascii="Times New Roman" w:hAnsi="Times New Roman" w:cs="Times New Roman"/>
          <w:sz w:val="24"/>
          <w:szCs w:val="24"/>
          <w:lang w:eastAsia="zh-CN"/>
        </w:rPr>
      </w:pPr>
    </w:p>
    <w:p w14:paraId="690359CD" w14:textId="4CFCA3F1" w:rsidR="007C3373" w:rsidRPr="007C3373" w:rsidRDefault="00E610BD" w:rsidP="007C3373">
      <w:pPr>
        <w:ind w:firstLine="567"/>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Объектом стандартизации являются </w:t>
      </w:r>
      <w:r w:rsidR="00AD2407" w:rsidRPr="00AD2407">
        <w:rPr>
          <w:rFonts w:ascii="Times New Roman" w:hAnsi="Times New Roman" w:cs="Times New Roman"/>
          <w:sz w:val="24"/>
          <w:szCs w:val="24"/>
          <w:lang w:eastAsia="zh-CN"/>
        </w:rPr>
        <w:t>колпачки для инъекций, изготовленные из комбинаций алюминия и пластика без перекрывающихся пластиковых частей</w:t>
      </w:r>
      <w:r w:rsidR="008777B9">
        <w:rPr>
          <w:rFonts w:ascii="Times New Roman" w:hAnsi="Times New Roman" w:cs="Times New Roman"/>
          <w:sz w:val="24"/>
          <w:szCs w:val="24"/>
          <w:lang w:eastAsia="zh-CN"/>
        </w:rPr>
        <w:t>.</w:t>
      </w:r>
      <w:r w:rsidR="007C3373" w:rsidRPr="007C3373">
        <w:rPr>
          <w:rFonts w:ascii="Times New Roman" w:hAnsi="Times New Roman" w:cs="Times New Roman"/>
          <w:sz w:val="24"/>
          <w:szCs w:val="24"/>
          <w:lang w:eastAsia="zh-CN"/>
        </w:rPr>
        <w:t xml:space="preserve"> </w:t>
      </w:r>
    </w:p>
    <w:p w14:paraId="223C8981" w14:textId="77777777" w:rsidR="00AD2407" w:rsidRPr="00AD2407" w:rsidRDefault="00AD2407" w:rsidP="00AD2407">
      <w:pPr>
        <w:ind w:firstLine="567"/>
        <w:jc w:val="both"/>
        <w:rPr>
          <w:rFonts w:ascii="Times New Roman" w:hAnsi="Times New Roman" w:cs="Times New Roman"/>
          <w:sz w:val="24"/>
          <w:szCs w:val="24"/>
          <w:lang w:eastAsia="zh-CN"/>
        </w:rPr>
      </w:pPr>
      <w:r w:rsidRPr="00AD2407">
        <w:rPr>
          <w:rFonts w:ascii="Times New Roman" w:hAnsi="Times New Roman" w:cs="Times New Roman"/>
          <w:sz w:val="24"/>
          <w:szCs w:val="24"/>
          <w:lang w:eastAsia="zh-CN"/>
        </w:rPr>
        <w:t xml:space="preserve">Настоящий стандарт устанавливает сочетание алюминия и пластмассы для крышек для инъекционных флаконов, описанных в ISO 8362-1 и ISO 8362-4, в которых пластмассовые части не выходят за диаметр корпуса флакона. </w:t>
      </w:r>
    </w:p>
    <w:p w14:paraId="52ACCE1D" w14:textId="77777777" w:rsidR="00D44AC5" w:rsidRPr="00D44AC5" w:rsidRDefault="00D44AC5" w:rsidP="00D44AC5">
      <w:pPr>
        <w:widowControl/>
        <w:autoSpaceDE/>
        <w:adjustRightInd/>
        <w:jc w:val="both"/>
        <w:rPr>
          <w:rFonts w:ascii="Times New Roman" w:hAnsi="Times New Roman" w:cs="Times New Roman"/>
          <w:b/>
          <w:sz w:val="24"/>
          <w:szCs w:val="24"/>
        </w:rPr>
      </w:pPr>
    </w:p>
    <w:p w14:paraId="4A6C11E4"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4 Сведения о взаимосвязи проекта стандарта с техническими регламентами и документами по стандартизации</w:t>
      </w:r>
    </w:p>
    <w:p w14:paraId="65F497C7" w14:textId="77777777" w:rsidR="00D44AC5" w:rsidRPr="00D44AC5" w:rsidRDefault="00D44AC5" w:rsidP="00D44AC5">
      <w:pPr>
        <w:widowControl/>
        <w:autoSpaceDE/>
        <w:adjustRightInd/>
        <w:ind w:firstLine="540"/>
        <w:jc w:val="both"/>
        <w:rPr>
          <w:rFonts w:ascii="Times New Roman" w:hAnsi="Times New Roman" w:cs="Times New Roman"/>
          <w:b/>
          <w:color w:val="000000"/>
          <w:sz w:val="24"/>
          <w:szCs w:val="24"/>
        </w:rPr>
      </w:pPr>
    </w:p>
    <w:p w14:paraId="736F949E" w14:textId="77777777" w:rsidR="00D44AC5" w:rsidRPr="00D44AC5" w:rsidRDefault="00D44AC5" w:rsidP="00D44AC5">
      <w:pPr>
        <w:suppressAutoHyphens/>
        <w:autoSpaceDE/>
        <w:adjustRightInd/>
        <w:ind w:firstLine="567"/>
        <w:jc w:val="both"/>
        <w:rPr>
          <w:rFonts w:ascii="Times New Roman" w:hAnsi="Times New Roman" w:cs="Times New Roman"/>
          <w:sz w:val="24"/>
          <w:szCs w:val="24"/>
        </w:rPr>
      </w:pPr>
      <w:r w:rsidRPr="00D44AC5">
        <w:rPr>
          <w:rFonts w:ascii="Times New Roman" w:hAnsi="Times New Roman" w:cs="Times New Roman"/>
          <w:sz w:val="24"/>
          <w:szCs w:val="24"/>
        </w:rPr>
        <w:t>Проект стандарта взаимосвязан со следующими документами:</w:t>
      </w:r>
    </w:p>
    <w:p w14:paraId="3016BF82" w14:textId="73BDAEEC" w:rsidR="002400A9" w:rsidRDefault="002400A9" w:rsidP="002400A9">
      <w:pPr>
        <w:pStyle w:val="a5"/>
        <w:numPr>
          <w:ilvl w:val="0"/>
          <w:numId w:val="4"/>
        </w:numPr>
        <w:tabs>
          <w:tab w:val="left" w:pos="851"/>
        </w:tabs>
        <w:suppressAutoHyphens/>
        <w:spacing w:after="0" w:line="240" w:lineRule="auto"/>
        <w:ind w:left="0" w:firstLine="567"/>
        <w:jc w:val="both"/>
        <w:rPr>
          <w:rFonts w:ascii="Times New Roman" w:hAnsi="Times New Roman"/>
          <w:sz w:val="24"/>
          <w:szCs w:val="24"/>
        </w:rPr>
      </w:pPr>
      <w:r w:rsidRPr="002400A9">
        <w:rPr>
          <w:rFonts w:ascii="Times New Roman" w:hAnsi="Times New Roman"/>
          <w:sz w:val="24"/>
          <w:szCs w:val="24"/>
        </w:rPr>
        <w:t>СТ РК ISO 7500-1-2012 Материалы металлические. Верификация машин для статических испытаний в условиях одноосного нагружения. Часть 1. Машины для испытания на растяжение/сжатие. Верификация и калибровка силоизмерительных систем»</w:t>
      </w:r>
    </w:p>
    <w:p w14:paraId="0BD29C98" w14:textId="59CB90C2" w:rsidR="002400A9" w:rsidRPr="002400A9" w:rsidRDefault="002400A9" w:rsidP="00FB0CBC">
      <w:pPr>
        <w:pStyle w:val="a5"/>
        <w:numPr>
          <w:ilvl w:val="0"/>
          <w:numId w:val="4"/>
        </w:numPr>
        <w:tabs>
          <w:tab w:val="left" w:pos="851"/>
        </w:tabs>
        <w:suppressAutoHyphens/>
        <w:spacing w:after="0" w:line="240" w:lineRule="auto"/>
        <w:ind w:left="0" w:firstLine="567"/>
        <w:jc w:val="both"/>
        <w:rPr>
          <w:rFonts w:ascii="Times New Roman" w:hAnsi="Times New Roman"/>
          <w:sz w:val="24"/>
          <w:szCs w:val="24"/>
        </w:rPr>
      </w:pPr>
      <w:r w:rsidRPr="002400A9">
        <w:rPr>
          <w:rFonts w:ascii="Times New Roman" w:hAnsi="Times New Roman"/>
          <w:sz w:val="24"/>
          <w:szCs w:val="24"/>
        </w:rPr>
        <w:t>ГОСТ 30893.1-2002 (ИСО 2768-1-89) Основные нормы взаимозаменяемости. Общие допуски. Предельные отклонения линейных и угловых размеров с неуказанными допускам;</w:t>
      </w:r>
    </w:p>
    <w:p w14:paraId="7CF1B5A6" w14:textId="717D38A4" w:rsidR="002400A9" w:rsidRDefault="002400A9" w:rsidP="00C52DCB">
      <w:pPr>
        <w:pStyle w:val="a5"/>
        <w:numPr>
          <w:ilvl w:val="0"/>
          <w:numId w:val="4"/>
        </w:numPr>
        <w:tabs>
          <w:tab w:val="left" w:pos="851"/>
        </w:tabs>
        <w:suppressAutoHyphens/>
        <w:spacing w:after="0" w:line="240" w:lineRule="auto"/>
        <w:ind w:left="0" w:firstLine="567"/>
        <w:jc w:val="both"/>
        <w:rPr>
          <w:rFonts w:ascii="Times New Roman" w:hAnsi="Times New Roman"/>
          <w:sz w:val="24"/>
          <w:szCs w:val="24"/>
        </w:rPr>
      </w:pPr>
      <w:r w:rsidRPr="002400A9">
        <w:rPr>
          <w:rFonts w:ascii="Times New Roman" w:hAnsi="Times New Roman"/>
          <w:sz w:val="24"/>
          <w:szCs w:val="24"/>
        </w:rPr>
        <w:t>ГОСТ 30893.2-2002 (ИСО 2768-2-89) Основные нормы взаимозаменяемости. Общие допуски. Допуски Предельные отклонения формы и расположения поверхностей, не указанные индивидуально.</w:t>
      </w:r>
    </w:p>
    <w:p w14:paraId="6BF2E76F" w14:textId="77777777" w:rsidR="002400A9" w:rsidRPr="002400A9" w:rsidRDefault="002400A9" w:rsidP="00C52DCB">
      <w:pPr>
        <w:pStyle w:val="a5"/>
        <w:numPr>
          <w:ilvl w:val="0"/>
          <w:numId w:val="4"/>
        </w:numPr>
        <w:tabs>
          <w:tab w:val="left" w:pos="851"/>
        </w:tabs>
        <w:suppressAutoHyphens/>
        <w:spacing w:after="0" w:line="240" w:lineRule="auto"/>
        <w:ind w:left="0" w:firstLine="567"/>
        <w:jc w:val="both"/>
        <w:rPr>
          <w:rFonts w:ascii="Times New Roman" w:hAnsi="Times New Roman"/>
          <w:sz w:val="24"/>
          <w:szCs w:val="24"/>
        </w:rPr>
      </w:pPr>
    </w:p>
    <w:p w14:paraId="4406FB30"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 xml:space="preserve">5 Предполагаемые пользователи стандарта </w:t>
      </w:r>
    </w:p>
    <w:p w14:paraId="48B6FCB0" w14:textId="5ADF3B8D" w:rsidR="00D44AC5" w:rsidRPr="00D44AC5" w:rsidRDefault="00D44AC5" w:rsidP="00D44AC5">
      <w:pPr>
        <w:ind w:firstLine="567"/>
        <w:jc w:val="both"/>
        <w:rPr>
          <w:rFonts w:ascii="Times New Roman" w:hAnsi="Times New Roman" w:cs="Times New Roman"/>
          <w:b/>
          <w:sz w:val="24"/>
          <w:szCs w:val="24"/>
          <w:lang w:val="kk-KZ" w:eastAsia="zh-CN"/>
        </w:rPr>
      </w:pPr>
    </w:p>
    <w:p w14:paraId="5F59452F" w14:textId="7B74201D" w:rsidR="00F70B56" w:rsidRPr="00F70B56" w:rsidRDefault="00F70B56" w:rsidP="00F70B56">
      <w:pPr>
        <w:ind w:firstLine="567"/>
        <w:jc w:val="both"/>
        <w:rPr>
          <w:rFonts w:ascii="Times New Roman" w:hAnsi="Times New Roman" w:cs="Times New Roman"/>
          <w:sz w:val="24"/>
          <w:szCs w:val="24"/>
          <w:lang w:eastAsia="zh-CN"/>
        </w:rPr>
      </w:pPr>
      <w:r w:rsidRPr="00F70B56">
        <w:rPr>
          <w:rFonts w:ascii="Times New Roman" w:hAnsi="Times New Roman" w:cs="Times New Roman"/>
          <w:sz w:val="24"/>
          <w:szCs w:val="24"/>
          <w:lang w:eastAsia="zh-CN"/>
        </w:rPr>
        <w:t xml:space="preserve">Заинтересованные в разработке документа по стандартизации государственные органы, </w:t>
      </w:r>
      <w:r w:rsidR="00137217" w:rsidRPr="00137217">
        <w:rPr>
          <w:rFonts w:ascii="Times New Roman" w:hAnsi="Times New Roman" w:cs="Times New Roman"/>
          <w:sz w:val="24"/>
          <w:szCs w:val="24"/>
          <w:lang w:eastAsia="zh-CN"/>
        </w:rPr>
        <w:t>ТОО «GREEN CROSS ECO (ГРИН КРОСС ЭКО)», Испытательный центр ТОО «</w:t>
      </w:r>
      <w:proofErr w:type="spellStart"/>
      <w:r w:rsidR="00137217" w:rsidRPr="00137217">
        <w:rPr>
          <w:rFonts w:ascii="Times New Roman" w:hAnsi="Times New Roman" w:cs="Times New Roman"/>
          <w:sz w:val="24"/>
          <w:szCs w:val="24"/>
          <w:lang w:eastAsia="zh-CN"/>
        </w:rPr>
        <w:t>BioEtica</w:t>
      </w:r>
      <w:proofErr w:type="spellEnd"/>
      <w:r w:rsidR="00137217" w:rsidRPr="00137217">
        <w:rPr>
          <w:rFonts w:ascii="Times New Roman" w:hAnsi="Times New Roman" w:cs="Times New Roman"/>
          <w:sz w:val="24"/>
          <w:szCs w:val="24"/>
          <w:lang w:eastAsia="zh-CN"/>
        </w:rPr>
        <w:t>», ТОО «</w:t>
      </w:r>
      <w:proofErr w:type="spellStart"/>
      <w:r w:rsidR="00137217" w:rsidRPr="00137217">
        <w:rPr>
          <w:rFonts w:ascii="Times New Roman" w:hAnsi="Times New Roman" w:cs="Times New Roman"/>
          <w:sz w:val="24"/>
          <w:szCs w:val="24"/>
          <w:lang w:eastAsia="zh-CN"/>
        </w:rPr>
        <w:t>ЭкоФарм</w:t>
      </w:r>
      <w:proofErr w:type="spellEnd"/>
      <w:r w:rsidR="00137217" w:rsidRPr="00137217">
        <w:rPr>
          <w:rFonts w:ascii="Times New Roman" w:hAnsi="Times New Roman" w:cs="Times New Roman"/>
          <w:sz w:val="24"/>
          <w:szCs w:val="24"/>
          <w:lang w:eastAsia="zh-CN"/>
        </w:rPr>
        <w:t xml:space="preserve"> Интернейшнл», ТОО «Marai E7 Group (Марай Е7 Групп), ТОО «ЭКО-ФАРМ» лечебно-профилактические учреждения</w:t>
      </w:r>
      <w:r w:rsidR="00137217">
        <w:rPr>
          <w:rFonts w:ascii="Times New Roman" w:hAnsi="Times New Roman" w:cs="Times New Roman"/>
          <w:sz w:val="24"/>
          <w:szCs w:val="24"/>
          <w:lang w:eastAsia="zh-CN"/>
        </w:rPr>
        <w:t>.</w:t>
      </w:r>
    </w:p>
    <w:p w14:paraId="40FC6544" w14:textId="677495B6" w:rsidR="00D44AC5" w:rsidRPr="00F70B56" w:rsidRDefault="00D44AC5" w:rsidP="00D44AC5">
      <w:pPr>
        <w:ind w:firstLine="567"/>
        <w:jc w:val="both"/>
        <w:rPr>
          <w:rFonts w:ascii="Times New Roman" w:hAnsi="Times New Roman" w:cs="Times New Roman"/>
          <w:b/>
          <w:sz w:val="24"/>
          <w:szCs w:val="24"/>
          <w:lang w:eastAsia="zh-CN"/>
        </w:rPr>
      </w:pPr>
    </w:p>
    <w:p w14:paraId="6E7A5273" w14:textId="77777777" w:rsidR="00D44AC5" w:rsidRPr="00D44AC5" w:rsidRDefault="00D44AC5" w:rsidP="00D44AC5">
      <w:pPr>
        <w:widowControl/>
        <w:autoSpaceDE/>
        <w:adjustRightInd/>
        <w:ind w:firstLine="540"/>
        <w:jc w:val="both"/>
        <w:rPr>
          <w:rFonts w:ascii="Times New Roman" w:hAnsi="Times New Roman" w:cs="Times New Roman"/>
          <w:b/>
          <w:sz w:val="24"/>
          <w:szCs w:val="24"/>
        </w:rPr>
      </w:pPr>
      <w:r w:rsidRPr="00D44AC5">
        <w:rPr>
          <w:rFonts w:ascii="Times New Roman" w:hAnsi="Times New Roman" w:cs="Times New Roman"/>
          <w:b/>
          <w:sz w:val="24"/>
          <w:szCs w:val="24"/>
        </w:rPr>
        <w:t>6 Сведения о рассылке проекта стандарта на согласование</w:t>
      </w:r>
    </w:p>
    <w:p w14:paraId="7EA0654B" w14:textId="65B9FB1D" w:rsidR="00D44AC5" w:rsidRPr="00D44AC5" w:rsidRDefault="00D44AC5" w:rsidP="00D44AC5">
      <w:pPr>
        <w:ind w:firstLine="567"/>
        <w:jc w:val="both"/>
        <w:rPr>
          <w:rFonts w:ascii="Times New Roman" w:hAnsi="Times New Roman" w:cs="Times New Roman"/>
          <w:b/>
          <w:sz w:val="24"/>
          <w:szCs w:val="24"/>
          <w:lang w:val="kk-KZ" w:eastAsia="zh-CN"/>
        </w:rPr>
      </w:pPr>
    </w:p>
    <w:p w14:paraId="17323D45"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r w:rsidRPr="00D44AC5">
        <w:rPr>
          <w:rFonts w:ascii="Times New Roman" w:hAnsi="Times New Roman" w:cs="Times New Roman"/>
          <w:sz w:val="24"/>
          <w:szCs w:val="24"/>
        </w:rPr>
        <w:t>Проект национального стандарта направлен всем заинтересованным государственным органам, техническим комитетам по стандартизации, испытательным лабораториям и ОПС, организациям и ассоциациям.</w:t>
      </w:r>
    </w:p>
    <w:p w14:paraId="7D6542F9"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p>
    <w:p w14:paraId="30C75287"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 </w:t>
      </w:r>
    </w:p>
    <w:p w14:paraId="69B5D97C" w14:textId="77777777" w:rsidR="00D44AC5" w:rsidRPr="00D44AC5" w:rsidRDefault="00D44AC5" w:rsidP="00D44AC5">
      <w:pPr>
        <w:widowControl/>
        <w:tabs>
          <w:tab w:val="num" w:pos="0"/>
        </w:tabs>
        <w:ind w:firstLine="540"/>
        <w:jc w:val="both"/>
        <w:rPr>
          <w:rFonts w:ascii="Times New Roman" w:hAnsi="Times New Roman" w:cs="Times New Roman"/>
          <w:sz w:val="24"/>
          <w:szCs w:val="24"/>
        </w:rPr>
      </w:pPr>
    </w:p>
    <w:p w14:paraId="4BFD9E31" w14:textId="0B27BE6B" w:rsidR="00D44AC5" w:rsidRDefault="00137217" w:rsidP="00D44AC5">
      <w:pPr>
        <w:widowControl/>
        <w:tabs>
          <w:tab w:val="num" w:pos="0"/>
        </w:tabs>
        <w:ind w:firstLine="540"/>
        <w:jc w:val="both"/>
        <w:rPr>
          <w:rFonts w:ascii="Times New Roman" w:hAnsi="Times New Roman" w:cs="Times New Roman"/>
          <w:sz w:val="24"/>
          <w:szCs w:val="24"/>
        </w:rPr>
      </w:pPr>
      <w:r w:rsidRPr="00A36261">
        <w:rPr>
          <w:rFonts w:ascii="Times New Roman" w:hAnsi="Times New Roman" w:cs="Times New Roman"/>
          <w:sz w:val="24"/>
          <w:szCs w:val="24"/>
        </w:rPr>
        <w:t xml:space="preserve">Настоящий стандарт подготовлен на основе официального перевода на русский язык </w:t>
      </w:r>
      <w:r>
        <w:rPr>
          <w:rFonts w:ascii="Times New Roman" w:hAnsi="Times New Roman" w:cs="Times New Roman"/>
          <w:sz w:val="24"/>
          <w:szCs w:val="24"/>
        </w:rPr>
        <w:t>международного</w:t>
      </w:r>
      <w:r w:rsidRPr="00A36261">
        <w:rPr>
          <w:rFonts w:ascii="Times New Roman" w:hAnsi="Times New Roman" w:cs="Times New Roman"/>
          <w:sz w:val="24"/>
          <w:szCs w:val="24"/>
        </w:rPr>
        <w:t xml:space="preserve"> стандарта</w:t>
      </w:r>
      <w:r>
        <w:rPr>
          <w:rFonts w:ascii="Times New Roman" w:hAnsi="Times New Roman" w:cs="Times New Roman"/>
          <w:sz w:val="24"/>
          <w:szCs w:val="24"/>
        </w:rPr>
        <w:t xml:space="preserve"> </w:t>
      </w:r>
      <w:bookmarkStart w:id="1" w:name="OLE_LINK6"/>
      <w:bookmarkStart w:id="2" w:name="OLE_LINK7"/>
      <w:bookmarkStart w:id="3" w:name="_Hlk48056258"/>
      <w:r w:rsidR="00AD2407" w:rsidRPr="00AD2407">
        <w:rPr>
          <w:rFonts w:ascii="Times New Roman" w:hAnsi="Times New Roman" w:cs="Times New Roman"/>
          <w:sz w:val="24"/>
          <w:szCs w:val="24"/>
        </w:rPr>
        <w:t xml:space="preserve">ISO 8362-7:2006 Injection containers and accessories – </w:t>
      </w:r>
      <w:proofErr w:type="spellStart"/>
      <w:r w:rsidR="00AD2407" w:rsidRPr="00AD2407">
        <w:rPr>
          <w:rFonts w:ascii="Times New Roman" w:hAnsi="Times New Roman" w:cs="Times New Roman"/>
          <w:sz w:val="24"/>
          <w:szCs w:val="24"/>
        </w:rPr>
        <w:t>Part</w:t>
      </w:r>
      <w:proofErr w:type="spellEnd"/>
      <w:r w:rsidR="00AD2407" w:rsidRPr="00AD2407">
        <w:rPr>
          <w:rFonts w:ascii="Times New Roman" w:hAnsi="Times New Roman" w:cs="Times New Roman"/>
          <w:sz w:val="24"/>
          <w:szCs w:val="24"/>
        </w:rPr>
        <w:t xml:space="preserve"> 7: </w:t>
      </w:r>
      <w:proofErr w:type="spellStart"/>
      <w:r w:rsidR="00AD2407" w:rsidRPr="00AD2407">
        <w:rPr>
          <w:rFonts w:ascii="Times New Roman" w:hAnsi="Times New Roman" w:cs="Times New Roman"/>
          <w:sz w:val="24"/>
          <w:szCs w:val="24"/>
        </w:rPr>
        <w:t>Injection</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caps</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made</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of</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aluminiumplastics</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combinations</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without</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overlapping</w:t>
      </w:r>
      <w:proofErr w:type="spellEnd"/>
      <w:r w:rsidR="00AD2407" w:rsidRPr="00AD2407">
        <w:rPr>
          <w:rFonts w:ascii="Times New Roman" w:hAnsi="Times New Roman" w:cs="Times New Roman"/>
          <w:sz w:val="24"/>
          <w:szCs w:val="24"/>
        </w:rPr>
        <w:t xml:space="preserve"> </w:t>
      </w:r>
      <w:proofErr w:type="spellStart"/>
      <w:r w:rsidR="00AD2407" w:rsidRPr="00AD2407">
        <w:rPr>
          <w:rFonts w:ascii="Times New Roman" w:hAnsi="Times New Roman" w:cs="Times New Roman"/>
          <w:sz w:val="24"/>
          <w:szCs w:val="24"/>
        </w:rPr>
        <w:t>plastics</w:t>
      </w:r>
      <w:proofErr w:type="spellEnd"/>
      <w:r w:rsidR="00AD2407" w:rsidRPr="00AD2407">
        <w:rPr>
          <w:rFonts w:ascii="Times New Roman" w:hAnsi="Times New Roman" w:cs="Times New Roman"/>
          <w:sz w:val="24"/>
          <w:szCs w:val="24"/>
        </w:rPr>
        <w:t xml:space="preserve"> part </w:t>
      </w:r>
      <w:r w:rsidR="00AD2407" w:rsidRPr="00AD2407">
        <w:rPr>
          <w:rFonts w:ascii="Times New Roman" w:hAnsi="Times New Roman" w:cs="Times New Roman"/>
          <w:sz w:val="24"/>
          <w:szCs w:val="24"/>
        </w:rPr>
        <w:lastRenderedPageBreak/>
        <w:t>(</w:t>
      </w:r>
      <w:bookmarkEnd w:id="1"/>
      <w:bookmarkEnd w:id="2"/>
      <w:r w:rsidR="00AD2407" w:rsidRPr="00AD2407">
        <w:rPr>
          <w:rFonts w:ascii="Times New Roman" w:hAnsi="Times New Roman" w:cs="Times New Roman"/>
          <w:sz w:val="24"/>
          <w:szCs w:val="24"/>
        </w:rPr>
        <w:t>Самоклеящиеся подвесные устройства для инфузионных флаконов и флаконов для инъекций. Требования и методы испытаний)</w:t>
      </w:r>
      <w:bookmarkEnd w:id="3"/>
      <w:r w:rsidR="00AD2407">
        <w:rPr>
          <w:rFonts w:ascii="Times New Roman" w:hAnsi="Times New Roman" w:cs="Times New Roman"/>
          <w:sz w:val="24"/>
          <w:szCs w:val="24"/>
        </w:rPr>
        <w:t>.</w:t>
      </w:r>
    </w:p>
    <w:p w14:paraId="7F0B7748" w14:textId="77777777" w:rsidR="008478DE" w:rsidRPr="002806AF" w:rsidRDefault="008478DE" w:rsidP="008478DE">
      <w:pPr>
        <w:pStyle w:val="22"/>
        <w:ind w:firstLine="567"/>
        <w:jc w:val="both"/>
        <w:rPr>
          <w:szCs w:val="24"/>
        </w:rPr>
      </w:pPr>
      <w:r w:rsidRPr="002806AF">
        <w:rPr>
          <w:szCs w:val="24"/>
        </w:rPr>
        <w:t>Степень соответствия – идентичная (IDT).</w:t>
      </w:r>
    </w:p>
    <w:p w14:paraId="5CBA3C87" w14:textId="77777777" w:rsidR="00137217" w:rsidRPr="00D44AC5" w:rsidRDefault="00137217" w:rsidP="00D44AC5">
      <w:pPr>
        <w:widowControl/>
        <w:tabs>
          <w:tab w:val="num" w:pos="0"/>
        </w:tabs>
        <w:ind w:firstLine="540"/>
        <w:jc w:val="both"/>
        <w:rPr>
          <w:rFonts w:ascii="Times New Roman" w:hAnsi="Times New Roman" w:cs="Times New Roman"/>
          <w:sz w:val="24"/>
          <w:szCs w:val="24"/>
        </w:rPr>
      </w:pPr>
    </w:p>
    <w:p w14:paraId="5BAA976A" w14:textId="77777777" w:rsidR="00D44AC5" w:rsidRPr="00D44AC5" w:rsidRDefault="00D44AC5" w:rsidP="00D44AC5">
      <w:pPr>
        <w:widowControl/>
        <w:autoSpaceDE/>
        <w:adjustRightInd/>
        <w:ind w:firstLine="567"/>
        <w:jc w:val="both"/>
        <w:rPr>
          <w:rFonts w:ascii="Times New Roman" w:hAnsi="Times New Roman" w:cs="Times New Roman"/>
          <w:b/>
          <w:sz w:val="24"/>
          <w:szCs w:val="24"/>
        </w:rPr>
      </w:pPr>
      <w:r w:rsidRPr="00D44AC5">
        <w:rPr>
          <w:rFonts w:ascii="Times New Roman" w:hAnsi="Times New Roman" w:cs="Times New Roman"/>
          <w:b/>
          <w:sz w:val="24"/>
          <w:szCs w:val="24"/>
        </w:rPr>
        <w:t>8 Данные о разработчике и соисполнителях (контактные данные), сроках разработки проекта стандарта</w:t>
      </w:r>
    </w:p>
    <w:p w14:paraId="3A7FAF06" w14:textId="77777777" w:rsidR="00D44AC5" w:rsidRPr="00D44AC5" w:rsidRDefault="00D44AC5" w:rsidP="00D44AC5">
      <w:pPr>
        <w:widowControl/>
        <w:autoSpaceDE/>
        <w:adjustRightInd/>
        <w:ind w:firstLine="540"/>
        <w:jc w:val="both"/>
        <w:rPr>
          <w:rFonts w:ascii="Times New Roman" w:hAnsi="Times New Roman" w:cs="Times New Roman"/>
          <w:sz w:val="24"/>
          <w:szCs w:val="24"/>
        </w:rPr>
      </w:pPr>
    </w:p>
    <w:p w14:paraId="4F6A5A23" w14:textId="275A586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Разработчик: </w:t>
      </w:r>
      <w:r w:rsidR="00137217" w:rsidRPr="005C744F">
        <w:rPr>
          <w:rFonts w:ascii="Times New Roman" w:hAnsi="Times New Roman" w:cs="Times New Roman"/>
          <w:sz w:val="24"/>
          <w:szCs w:val="24"/>
        </w:rPr>
        <w:t>ТОО</w:t>
      </w:r>
      <w:r w:rsidRPr="005C744F">
        <w:rPr>
          <w:rFonts w:ascii="Times New Roman" w:hAnsi="Times New Roman" w:cs="Times New Roman"/>
          <w:sz w:val="24"/>
          <w:szCs w:val="24"/>
        </w:rPr>
        <w:t xml:space="preserve"> </w:t>
      </w:r>
      <w:r w:rsidR="00137217" w:rsidRPr="005C744F">
        <w:rPr>
          <w:rFonts w:ascii="Times New Roman" w:hAnsi="Times New Roman" w:cs="Times New Roman"/>
          <w:sz w:val="24"/>
          <w:szCs w:val="24"/>
        </w:rPr>
        <w:t>«</w:t>
      </w:r>
      <w:proofErr w:type="spellStart"/>
      <w:r w:rsidR="00137217" w:rsidRPr="005C744F">
        <w:rPr>
          <w:rFonts w:ascii="Times New Roman" w:hAnsi="Times New Roman" w:cs="Times New Roman"/>
          <w:sz w:val="24"/>
          <w:szCs w:val="24"/>
        </w:rPr>
        <w:t>NavyCo</w:t>
      </w:r>
      <w:proofErr w:type="spellEnd"/>
      <w:r w:rsidR="00137217" w:rsidRPr="005C744F">
        <w:rPr>
          <w:rFonts w:ascii="Times New Roman" w:hAnsi="Times New Roman" w:cs="Times New Roman"/>
          <w:sz w:val="24"/>
          <w:szCs w:val="24"/>
        </w:rPr>
        <w:t>»</w:t>
      </w:r>
    </w:p>
    <w:p w14:paraId="3E10CC34" w14:textId="6394B6AB"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Местонахождение: 010000, Республика Казахстан, г. </w:t>
      </w:r>
      <w:r w:rsidR="00AF3B8D" w:rsidRPr="005C744F">
        <w:rPr>
          <w:rFonts w:ascii="Times New Roman" w:hAnsi="Times New Roman" w:cs="Times New Roman"/>
          <w:sz w:val="24"/>
          <w:szCs w:val="24"/>
        </w:rPr>
        <w:t>Астана</w:t>
      </w:r>
      <w:r w:rsidRPr="005C744F">
        <w:rPr>
          <w:rFonts w:ascii="Times New Roman" w:hAnsi="Times New Roman" w:cs="Times New Roman"/>
          <w:sz w:val="24"/>
          <w:szCs w:val="24"/>
        </w:rPr>
        <w:t xml:space="preserve">, </w:t>
      </w:r>
      <w:r w:rsidR="003616D8" w:rsidRPr="005C744F">
        <w:rPr>
          <w:rFonts w:ascii="Times New Roman" w:hAnsi="Times New Roman" w:cs="Times New Roman"/>
          <w:sz w:val="24"/>
          <w:szCs w:val="24"/>
        </w:rPr>
        <w:t xml:space="preserve">пр. </w:t>
      </w:r>
      <w:proofErr w:type="spellStart"/>
      <w:r w:rsidR="003616D8" w:rsidRPr="005C744F">
        <w:rPr>
          <w:rFonts w:ascii="Times New Roman" w:hAnsi="Times New Roman" w:cs="Times New Roman"/>
          <w:sz w:val="24"/>
          <w:szCs w:val="24"/>
        </w:rPr>
        <w:t>Кабанбай</w:t>
      </w:r>
      <w:proofErr w:type="spellEnd"/>
      <w:r w:rsidR="003616D8" w:rsidRPr="005C744F">
        <w:rPr>
          <w:rFonts w:ascii="Times New Roman" w:hAnsi="Times New Roman" w:cs="Times New Roman"/>
          <w:sz w:val="24"/>
          <w:szCs w:val="24"/>
        </w:rPr>
        <w:t xml:space="preserve"> батыра, 6/6, ВП-3.</w:t>
      </w:r>
    </w:p>
    <w:p w14:paraId="2576B86A" w14:textId="7676D58F"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 xml:space="preserve">Контактные данные: телефон </w:t>
      </w:r>
      <w:r w:rsidR="005C744F" w:rsidRPr="005C744F">
        <w:rPr>
          <w:rFonts w:ascii="Times New Roman" w:hAnsi="Times New Roman" w:cs="Times New Roman"/>
          <w:sz w:val="24"/>
          <w:szCs w:val="24"/>
        </w:rPr>
        <w:t>+7 707 455 42 28</w:t>
      </w:r>
      <w:r w:rsidRPr="005C744F">
        <w:rPr>
          <w:rFonts w:ascii="Times New Roman" w:hAnsi="Times New Roman" w:cs="Times New Roman"/>
          <w:sz w:val="24"/>
          <w:szCs w:val="24"/>
        </w:rPr>
        <w:t xml:space="preserve">, </w:t>
      </w:r>
      <w:proofErr w:type="spellStart"/>
      <w:r w:rsidRPr="005C744F">
        <w:rPr>
          <w:rFonts w:ascii="Times New Roman" w:hAnsi="Times New Roman" w:cs="Times New Roman"/>
          <w:sz w:val="24"/>
          <w:szCs w:val="24"/>
        </w:rPr>
        <w:t>e-mail</w:t>
      </w:r>
      <w:proofErr w:type="spellEnd"/>
      <w:r w:rsidRPr="005C744F">
        <w:rPr>
          <w:rFonts w:ascii="Times New Roman" w:hAnsi="Times New Roman" w:cs="Times New Roman"/>
          <w:sz w:val="24"/>
          <w:szCs w:val="24"/>
        </w:rPr>
        <w:t xml:space="preserve">: </w:t>
      </w:r>
      <w:hyperlink r:id="rId6" w:history="1">
        <w:r w:rsidR="005C744F" w:rsidRPr="005C744F">
          <w:rPr>
            <w:rFonts w:ascii="Times New Roman" w:hAnsi="Times New Roman" w:cs="Times New Roman"/>
            <w:sz w:val="24"/>
            <w:szCs w:val="24"/>
          </w:rPr>
          <w:t>navyco</w:t>
        </w:r>
      </w:hyperlink>
      <w:r w:rsidR="005C744F" w:rsidRPr="005C744F">
        <w:rPr>
          <w:rFonts w:ascii="Times New Roman" w:hAnsi="Times New Roman" w:cs="Times New Roman"/>
          <w:sz w:val="24"/>
          <w:szCs w:val="24"/>
        </w:rPr>
        <w:t>@bk.ru</w:t>
      </w:r>
    </w:p>
    <w:p w14:paraId="568D85F6" w14:textId="39899DD6" w:rsidR="00D44AC5" w:rsidRPr="005C744F" w:rsidRDefault="00D44AC5" w:rsidP="00D44AC5">
      <w:pPr>
        <w:widowControl/>
        <w:tabs>
          <w:tab w:val="num" w:pos="0"/>
        </w:tabs>
        <w:ind w:firstLine="540"/>
        <w:jc w:val="both"/>
        <w:rPr>
          <w:rFonts w:ascii="Times New Roman" w:hAnsi="Times New Roman" w:cs="Times New Roman"/>
          <w:sz w:val="24"/>
          <w:szCs w:val="24"/>
        </w:rPr>
      </w:pPr>
      <w:r w:rsidRPr="005C744F">
        <w:rPr>
          <w:rFonts w:ascii="Times New Roman" w:hAnsi="Times New Roman" w:cs="Times New Roman"/>
          <w:sz w:val="24"/>
          <w:szCs w:val="24"/>
        </w:rPr>
        <w:t>Срок разработки проекта стандарта и внесения его на утверждение – 202</w:t>
      </w:r>
      <w:r w:rsidR="00B726C7" w:rsidRPr="005C744F">
        <w:rPr>
          <w:rFonts w:ascii="Times New Roman" w:hAnsi="Times New Roman" w:cs="Times New Roman"/>
          <w:sz w:val="24"/>
          <w:szCs w:val="24"/>
        </w:rPr>
        <w:t>3</w:t>
      </w:r>
      <w:r w:rsidRPr="005C744F">
        <w:rPr>
          <w:rFonts w:ascii="Times New Roman" w:hAnsi="Times New Roman" w:cs="Times New Roman"/>
          <w:sz w:val="24"/>
          <w:szCs w:val="24"/>
        </w:rPr>
        <w:t xml:space="preserve"> год.</w:t>
      </w:r>
    </w:p>
    <w:p w14:paraId="0E5904D6" w14:textId="4D14280E" w:rsidR="00D44AC5" w:rsidRDefault="00D44AC5" w:rsidP="00D44AC5">
      <w:pPr>
        <w:widowControl/>
        <w:autoSpaceDE/>
        <w:adjustRightInd/>
        <w:jc w:val="both"/>
        <w:rPr>
          <w:rFonts w:ascii="Times New Roman" w:hAnsi="Times New Roman" w:cs="Times New Roman"/>
          <w:sz w:val="24"/>
          <w:szCs w:val="24"/>
        </w:rPr>
      </w:pPr>
    </w:p>
    <w:p w14:paraId="195182A5" w14:textId="670DBA72" w:rsidR="007E615E" w:rsidRDefault="007E615E" w:rsidP="00D44AC5">
      <w:pPr>
        <w:widowControl/>
        <w:autoSpaceDE/>
        <w:adjustRightInd/>
        <w:jc w:val="both"/>
        <w:rPr>
          <w:rFonts w:ascii="Times New Roman" w:hAnsi="Times New Roman" w:cs="Times New Roman"/>
          <w:sz w:val="24"/>
          <w:szCs w:val="24"/>
        </w:rPr>
      </w:pPr>
    </w:p>
    <w:p w14:paraId="14B6A4B2" w14:textId="77777777" w:rsidR="007E615E" w:rsidRPr="00D44AC5" w:rsidRDefault="007E615E" w:rsidP="00D44AC5">
      <w:pPr>
        <w:widowControl/>
        <w:autoSpaceDE/>
        <w:adjustRightInd/>
        <w:jc w:val="both"/>
        <w:rPr>
          <w:rFonts w:ascii="Times New Roman" w:hAnsi="Times New Roman" w:cs="Times New Roman"/>
          <w:sz w:val="24"/>
          <w:szCs w:val="24"/>
        </w:rPr>
      </w:pPr>
    </w:p>
    <w:p w14:paraId="081B50C0" w14:textId="77777777" w:rsidR="00D44AC5" w:rsidRPr="00D44AC5" w:rsidRDefault="00D44AC5" w:rsidP="00D44A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firstLine="709"/>
        <w:rPr>
          <w:rFonts w:ascii="Times New Roman" w:hAnsi="Times New Roman" w:cs="Times New Roman"/>
          <w:sz w:val="24"/>
          <w:szCs w:val="24"/>
        </w:rPr>
      </w:pPr>
    </w:p>
    <w:p w14:paraId="16DD3E6A" w14:textId="77777777" w:rsidR="008777B9" w:rsidRPr="004E6919" w:rsidRDefault="008777B9" w:rsidP="008777B9">
      <w:pPr>
        <w:ind w:firstLine="567"/>
        <w:contextualSpacing/>
        <w:rPr>
          <w:rFonts w:ascii="Times New Roman" w:hAnsi="Times New Roman" w:cs="Times New Roman"/>
          <w:b/>
          <w:sz w:val="24"/>
          <w:szCs w:val="24"/>
        </w:rPr>
      </w:pPr>
      <w:r w:rsidRPr="004E6919">
        <w:rPr>
          <w:rFonts w:ascii="Times New Roman" w:hAnsi="Times New Roman" w:cs="Times New Roman"/>
          <w:b/>
          <w:sz w:val="24"/>
          <w:szCs w:val="24"/>
        </w:rPr>
        <w:t>Директор</w:t>
      </w:r>
      <w:r w:rsidRPr="004E6919">
        <w:rPr>
          <w:rFonts w:ascii="Times New Roman" w:hAnsi="Times New Roman" w:cs="Times New Roman"/>
          <w:sz w:val="24"/>
          <w:szCs w:val="24"/>
        </w:rPr>
        <w:t xml:space="preserve"> </w:t>
      </w:r>
      <w:r w:rsidRPr="004E6919">
        <w:rPr>
          <w:rFonts w:ascii="Times New Roman" w:hAnsi="Times New Roman" w:cs="Times New Roman"/>
          <w:b/>
          <w:sz w:val="24"/>
          <w:szCs w:val="24"/>
          <w:lang w:val="kk-KZ"/>
        </w:rPr>
        <w:t xml:space="preserve">ТОО </w:t>
      </w:r>
      <w:r w:rsidRPr="004E6919">
        <w:rPr>
          <w:rFonts w:ascii="Times New Roman" w:hAnsi="Times New Roman" w:cs="Times New Roman"/>
          <w:b/>
          <w:sz w:val="24"/>
          <w:szCs w:val="24"/>
        </w:rPr>
        <w:t>«</w:t>
      </w:r>
      <w:proofErr w:type="spellStart"/>
      <w:r w:rsidRPr="004E6919">
        <w:rPr>
          <w:rFonts w:ascii="Times New Roman" w:hAnsi="Times New Roman" w:cs="Times New Roman"/>
          <w:b/>
          <w:sz w:val="24"/>
          <w:szCs w:val="24"/>
          <w:lang w:val="en-US"/>
        </w:rPr>
        <w:t>NavyCo</w:t>
      </w:r>
      <w:proofErr w:type="spellEnd"/>
      <w:r w:rsidRPr="004E6919">
        <w:rPr>
          <w:rFonts w:ascii="Times New Roman" w:hAnsi="Times New Roman" w:cs="Times New Roman"/>
          <w:b/>
          <w:sz w:val="24"/>
          <w:szCs w:val="24"/>
        </w:rPr>
        <w:t>»</w:t>
      </w:r>
      <w:r w:rsidRPr="004E6919">
        <w:rPr>
          <w:rFonts w:ascii="Times New Roman" w:hAnsi="Times New Roman" w:cs="Times New Roman"/>
          <w:sz w:val="24"/>
          <w:szCs w:val="24"/>
        </w:rPr>
        <w:t xml:space="preserve">                                                                  </w:t>
      </w:r>
      <w:proofErr w:type="spellStart"/>
      <w:r w:rsidRPr="004E6919">
        <w:rPr>
          <w:rFonts w:ascii="Times New Roman" w:hAnsi="Times New Roman" w:cs="Times New Roman"/>
          <w:b/>
          <w:sz w:val="24"/>
          <w:szCs w:val="24"/>
        </w:rPr>
        <w:t>Нуртазин</w:t>
      </w:r>
      <w:proofErr w:type="spellEnd"/>
      <w:r w:rsidRPr="004E6919">
        <w:rPr>
          <w:rFonts w:ascii="Times New Roman" w:hAnsi="Times New Roman" w:cs="Times New Roman"/>
          <w:b/>
          <w:sz w:val="24"/>
          <w:szCs w:val="24"/>
        </w:rPr>
        <w:t xml:space="preserve"> А.А.</w:t>
      </w:r>
    </w:p>
    <w:p w14:paraId="5798B382" w14:textId="77777777" w:rsidR="00D44AC5" w:rsidRPr="008777B9" w:rsidRDefault="00D44AC5" w:rsidP="00D44AC5">
      <w:pPr>
        <w:rPr>
          <w:rFonts w:ascii="Times New Roman" w:hAnsi="Times New Roman" w:cs="Times New Roman"/>
          <w:b/>
          <w:sz w:val="24"/>
          <w:szCs w:val="24"/>
        </w:rPr>
      </w:pPr>
    </w:p>
    <w:p w14:paraId="2AE372C2" w14:textId="77777777" w:rsidR="00D44AC5" w:rsidRPr="00D44AC5" w:rsidRDefault="00D44AC5" w:rsidP="00D44AC5">
      <w:pPr>
        <w:ind w:firstLine="567"/>
        <w:jc w:val="both"/>
        <w:rPr>
          <w:rFonts w:ascii="Times New Roman" w:hAnsi="Times New Roman" w:cs="Times New Roman"/>
          <w:b/>
          <w:sz w:val="24"/>
          <w:szCs w:val="24"/>
          <w:lang w:val="kk-KZ" w:eastAsia="zh-CN"/>
        </w:rPr>
      </w:pPr>
    </w:p>
    <w:sectPr w:rsidR="00D44AC5" w:rsidRPr="00D44A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F7F32"/>
    <w:multiLevelType w:val="hybridMultilevel"/>
    <w:tmpl w:val="EBB65B0A"/>
    <w:lvl w:ilvl="0" w:tplc="0A22194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0DD2337"/>
    <w:multiLevelType w:val="hybridMultilevel"/>
    <w:tmpl w:val="5C06CAE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41F62E80"/>
    <w:multiLevelType w:val="hybridMultilevel"/>
    <w:tmpl w:val="1E2CF14C"/>
    <w:lvl w:ilvl="0" w:tplc="D2708986">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3" w15:restartNumberingAfterBreak="0">
    <w:nsid w:val="5A3A350F"/>
    <w:multiLevelType w:val="multilevel"/>
    <w:tmpl w:val="0AF84FBE"/>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4" w15:restartNumberingAfterBreak="0">
    <w:nsid w:val="5ECC77F0"/>
    <w:multiLevelType w:val="hybridMultilevel"/>
    <w:tmpl w:val="EC669CE4"/>
    <w:lvl w:ilvl="0" w:tplc="D2708986">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900E0"/>
    <w:rsid w:val="00132982"/>
    <w:rsid w:val="00137217"/>
    <w:rsid w:val="002400A9"/>
    <w:rsid w:val="003029B8"/>
    <w:rsid w:val="00312DCA"/>
    <w:rsid w:val="003616D8"/>
    <w:rsid w:val="003F00A3"/>
    <w:rsid w:val="003F7768"/>
    <w:rsid w:val="0040619E"/>
    <w:rsid w:val="005C744F"/>
    <w:rsid w:val="00682E02"/>
    <w:rsid w:val="006B6FAE"/>
    <w:rsid w:val="0072234F"/>
    <w:rsid w:val="007C3373"/>
    <w:rsid w:val="007E615E"/>
    <w:rsid w:val="008478DE"/>
    <w:rsid w:val="008777B9"/>
    <w:rsid w:val="009110C3"/>
    <w:rsid w:val="00A02B98"/>
    <w:rsid w:val="00A21007"/>
    <w:rsid w:val="00A900E0"/>
    <w:rsid w:val="00AD2407"/>
    <w:rsid w:val="00AF3B8D"/>
    <w:rsid w:val="00B24F26"/>
    <w:rsid w:val="00B426C3"/>
    <w:rsid w:val="00B726C7"/>
    <w:rsid w:val="00D44AC5"/>
    <w:rsid w:val="00E610BD"/>
    <w:rsid w:val="00EB5AC5"/>
    <w:rsid w:val="00F346AB"/>
    <w:rsid w:val="00F4232A"/>
    <w:rsid w:val="00F70B56"/>
    <w:rsid w:val="00FA22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48B5D"/>
  <w15:docId w15:val="{982A7427-8BB5-4F9E-BDDD-FB3D80D1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29B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heading 2"/>
    <w:basedOn w:val="4"/>
    <w:next w:val="a0"/>
    <w:link w:val="20"/>
    <w:autoRedefine/>
    <w:qFormat/>
    <w:rsid w:val="002400A9"/>
    <w:pPr>
      <w:keepNext/>
      <w:widowControl/>
      <w:numPr>
        <w:ilvl w:val="1"/>
        <w:numId w:val="5"/>
      </w:numPr>
      <w:tabs>
        <w:tab w:val="clear" w:pos="1425"/>
        <w:tab w:val="num" w:pos="993"/>
      </w:tabs>
      <w:autoSpaceDE/>
      <w:autoSpaceDN/>
      <w:adjustRightInd/>
      <w:spacing w:after="0"/>
      <w:ind w:left="0" w:firstLine="567"/>
      <w:contextualSpacing w:val="0"/>
      <w:jc w:val="both"/>
      <w:outlineLvl w:val="1"/>
    </w:pPr>
    <w:rPr>
      <w:rFonts w:ascii="Times New Roman" w:hAnsi="Times New Roman"/>
      <w:b/>
      <w:bCs/>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3029B8"/>
    <w:rPr>
      <w:color w:val="0000FF"/>
      <w:u w:val="single"/>
    </w:rPr>
  </w:style>
  <w:style w:type="paragraph" w:customStyle="1" w:styleId="bullet1">
    <w:name w:val="bullet1"/>
    <w:basedOn w:val="a0"/>
    <w:rsid w:val="00FA2282"/>
    <w:pPr>
      <w:widowControl/>
      <w:autoSpaceDE/>
      <w:autoSpaceDN/>
      <w:adjustRightInd/>
      <w:spacing w:before="60" w:after="60" w:line="260" w:lineRule="atLeast"/>
      <w:ind w:left="1287" w:hanging="360"/>
    </w:pPr>
    <w:rPr>
      <w:rFonts w:ascii="Times New Roman" w:hAnsi="Times New Roman" w:cs="Times New Roman"/>
      <w:sz w:val="24"/>
      <w:szCs w:val="24"/>
    </w:rPr>
  </w:style>
  <w:style w:type="paragraph" w:styleId="a5">
    <w:name w:val="List Paragraph"/>
    <w:aliases w:val="Heading1,Colorful List - Accent 11"/>
    <w:basedOn w:val="a0"/>
    <w:link w:val="a6"/>
    <w:uiPriority w:val="34"/>
    <w:qFormat/>
    <w:rsid w:val="00B726C7"/>
    <w:pPr>
      <w:widowControl/>
      <w:autoSpaceDE/>
      <w:autoSpaceDN/>
      <w:adjustRightInd/>
      <w:spacing w:after="200" w:line="276" w:lineRule="auto"/>
      <w:ind w:left="720"/>
      <w:contextualSpacing/>
    </w:pPr>
    <w:rPr>
      <w:rFonts w:ascii="Calibri" w:hAnsi="Calibri" w:cs="Times New Roman"/>
      <w:sz w:val="22"/>
      <w:szCs w:val="22"/>
    </w:rPr>
  </w:style>
  <w:style w:type="character" w:customStyle="1" w:styleId="a6">
    <w:name w:val="Абзац списка Знак"/>
    <w:aliases w:val="Heading1 Знак,Colorful List - Accent 11 Знак"/>
    <w:link w:val="a5"/>
    <w:uiPriority w:val="34"/>
    <w:rsid w:val="00B24F26"/>
    <w:rPr>
      <w:rFonts w:ascii="Calibri" w:eastAsia="Times New Roman" w:hAnsi="Calibri" w:cs="Times New Roman"/>
      <w:lang w:val="ru-RU" w:eastAsia="ru-RU"/>
    </w:rPr>
  </w:style>
  <w:style w:type="character" w:customStyle="1" w:styleId="s0">
    <w:name w:val="s0"/>
    <w:basedOn w:val="a1"/>
    <w:rsid w:val="00B24F26"/>
  </w:style>
  <w:style w:type="character" w:customStyle="1" w:styleId="a7">
    <w:name w:val="Без интервала Знак"/>
    <w:link w:val="a8"/>
    <w:uiPriority w:val="1"/>
    <w:locked/>
    <w:rsid w:val="0040619E"/>
    <w:rPr>
      <w:rFonts w:ascii="Arial" w:eastAsia="Times New Roman" w:hAnsi="Arial" w:cs="Arial"/>
      <w:sz w:val="24"/>
      <w:szCs w:val="24"/>
      <w:lang w:eastAsia="ru-RU"/>
    </w:rPr>
  </w:style>
  <w:style w:type="paragraph" w:styleId="a8">
    <w:name w:val="No Spacing"/>
    <w:link w:val="a7"/>
    <w:uiPriority w:val="1"/>
    <w:qFormat/>
    <w:rsid w:val="0040619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pple-converted-space">
    <w:name w:val="apple-converted-space"/>
    <w:basedOn w:val="a1"/>
    <w:rsid w:val="0040619E"/>
  </w:style>
  <w:style w:type="character" w:styleId="a9">
    <w:name w:val="Emphasis"/>
    <w:basedOn w:val="a1"/>
    <w:qFormat/>
    <w:rsid w:val="0040619E"/>
    <w:rPr>
      <w:i/>
      <w:iCs/>
    </w:rPr>
  </w:style>
  <w:style w:type="character" w:customStyle="1" w:styleId="FontStyle35">
    <w:name w:val="Font Style35"/>
    <w:uiPriority w:val="99"/>
    <w:rsid w:val="00137217"/>
    <w:rPr>
      <w:rFonts w:ascii="Book Antiqua" w:hAnsi="Book Antiqua" w:cs="Book Antiqua"/>
      <w:b/>
      <w:bCs/>
      <w:color w:val="000000"/>
      <w:sz w:val="16"/>
      <w:szCs w:val="16"/>
    </w:rPr>
  </w:style>
  <w:style w:type="character" w:customStyle="1" w:styleId="aa">
    <w:name w:val="Основной текст_"/>
    <w:basedOn w:val="a1"/>
    <w:link w:val="21"/>
    <w:rsid w:val="008777B9"/>
    <w:rPr>
      <w:rFonts w:ascii="Arial Unicode MS" w:eastAsia="Arial Unicode MS" w:hAnsi="Arial Unicode MS" w:cs="Arial Unicode MS"/>
      <w:sz w:val="19"/>
      <w:szCs w:val="19"/>
      <w:shd w:val="clear" w:color="auto" w:fill="FFFFFF"/>
    </w:rPr>
  </w:style>
  <w:style w:type="paragraph" w:customStyle="1" w:styleId="21">
    <w:name w:val="Основной текст2"/>
    <w:basedOn w:val="a0"/>
    <w:link w:val="aa"/>
    <w:rsid w:val="008777B9"/>
    <w:pPr>
      <w:shd w:val="clear" w:color="auto" w:fill="FFFFFF"/>
      <w:autoSpaceDE/>
      <w:autoSpaceDN/>
      <w:adjustRightInd/>
      <w:spacing w:before="180" w:after="180" w:line="220" w:lineRule="exact"/>
      <w:ind w:hanging="1000"/>
    </w:pPr>
    <w:rPr>
      <w:rFonts w:ascii="Arial Unicode MS" w:eastAsia="Arial Unicode MS" w:hAnsi="Arial Unicode MS" w:cs="Arial Unicode MS"/>
      <w:sz w:val="19"/>
      <w:szCs w:val="19"/>
      <w:lang w:eastAsia="en-US"/>
    </w:rPr>
  </w:style>
  <w:style w:type="paragraph" w:styleId="ab">
    <w:name w:val="Normal (Web)"/>
    <w:basedOn w:val="a0"/>
    <w:uiPriority w:val="99"/>
    <w:semiHidden/>
    <w:unhideWhenUsed/>
    <w:rsid w:val="008777B9"/>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20">
    <w:name w:val="Заголовок 2 Знак"/>
    <w:basedOn w:val="a1"/>
    <w:link w:val="2"/>
    <w:rsid w:val="002400A9"/>
    <w:rPr>
      <w:rFonts w:ascii="Times New Roman" w:eastAsia="Times New Roman" w:hAnsi="Times New Roman" w:cs="Arial"/>
      <w:b/>
      <w:bCs/>
      <w:iCs/>
      <w:sz w:val="24"/>
      <w:szCs w:val="24"/>
      <w:lang w:eastAsia="ru-RU"/>
    </w:rPr>
  </w:style>
  <w:style w:type="paragraph" w:styleId="ac">
    <w:name w:val="footnote text"/>
    <w:basedOn w:val="a0"/>
    <w:link w:val="ad"/>
    <w:semiHidden/>
    <w:rsid w:val="002400A9"/>
    <w:pPr>
      <w:widowControl/>
      <w:autoSpaceDE/>
      <w:autoSpaceDN/>
      <w:adjustRightInd/>
      <w:jc w:val="both"/>
    </w:pPr>
    <w:rPr>
      <w:rFonts w:ascii="Times New Roman" w:hAnsi="Times New Roman" w:cs="Times New Roman"/>
    </w:rPr>
  </w:style>
  <w:style w:type="character" w:customStyle="1" w:styleId="ad">
    <w:name w:val="Текст сноски Знак"/>
    <w:basedOn w:val="a1"/>
    <w:link w:val="ac"/>
    <w:semiHidden/>
    <w:rsid w:val="002400A9"/>
    <w:rPr>
      <w:rFonts w:ascii="Times New Roman" w:eastAsia="Times New Roman" w:hAnsi="Times New Roman" w:cs="Times New Roman"/>
      <w:sz w:val="20"/>
      <w:szCs w:val="20"/>
      <w:lang w:eastAsia="ru-RU"/>
    </w:rPr>
  </w:style>
  <w:style w:type="paragraph" w:customStyle="1" w:styleId="a">
    <w:name w:val="Обычный + полужирный"/>
    <w:aliases w:val="уплотненный на  0.3 пт"/>
    <w:basedOn w:val="2"/>
    <w:rsid w:val="002400A9"/>
    <w:pPr>
      <w:numPr>
        <w:ilvl w:val="2"/>
      </w:numPr>
      <w:tabs>
        <w:tab w:val="clear" w:pos="1440"/>
      </w:tabs>
      <w:ind w:left="2727" w:hanging="360"/>
    </w:pPr>
  </w:style>
  <w:style w:type="paragraph" w:styleId="4">
    <w:name w:val="List Continue 4"/>
    <w:basedOn w:val="a0"/>
    <w:uiPriority w:val="99"/>
    <w:semiHidden/>
    <w:unhideWhenUsed/>
    <w:rsid w:val="002400A9"/>
    <w:pPr>
      <w:spacing w:after="120"/>
      <w:ind w:left="1132"/>
      <w:contextualSpacing/>
    </w:pPr>
  </w:style>
  <w:style w:type="paragraph" w:customStyle="1" w:styleId="22">
    <w:name w:val="Обычный2"/>
    <w:rsid w:val="008478DE"/>
    <w:pPr>
      <w:snapToGrid w:val="0"/>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306">
      <w:bodyDiv w:val="1"/>
      <w:marLeft w:val="0"/>
      <w:marRight w:val="0"/>
      <w:marTop w:val="0"/>
      <w:marBottom w:val="0"/>
      <w:divBdr>
        <w:top w:val="none" w:sz="0" w:space="0" w:color="auto"/>
        <w:left w:val="none" w:sz="0" w:space="0" w:color="auto"/>
        <w:bottom w:val="none" w:sz="0" w:space="0" w:color="auto"/>
        <w:right w:val="none" w:sz="0" w:space="0" w:color="auto"/>
      </w:divBdr>
    </w:div>
    <w:div w:id="228460328">
      <w:bodyDiv w:val="1"/>
      <w:marLeft w:val="0"/>
      <w:marRight w:val="0"/>
      <w:marTop w:val="0"/>
      <w:marBottom w:val="0"/>
      <w:divBdr>
        <w:top w:val="none" w:sz="0" w:space="0" w:color="auto"/>
        <w:left w:val="none" w:sz="0" w:space="0" w:color="auto"/>
        <w:bottom w:val="none" w:sz="0" w:space="0" w:color="auto"/>
        <w:right w:val="none" w:sz="0" w:space="0" w:color="auto"/>
      </w:divBdr>
    </w:div>
    <w:div w:id="268008938">
      <w:bodyDiv w:val="1"/>
      <w:marLeft w:val="0"/>
      <w:marRight w:val="0"/>
      <w:marTop w:val="0"/>
      <w:marBottom w:val="0"/>
      <w:divBdr>
        <w:top w:val="none" w:sz="0" w:space="0" w:color="auto"/>
        <w:left w:val="none" w:sz="0" w:space="0" w:color="auto"/>
        <w:bottom w:val="none" w:sz="0" w:space="0" w:color="auto"/>
        <w:right w:val="none" w:sz="0" w:space="0" w:color="auto"/>
      </w:divBdr>
    </w:div>
    <w:div w:id="315841163">
      <w:bodyDiv w:val="1"/>
      <w:marLeft w:val="0"/>
      <w:marRight w:val="0"/>
      <w:marTop w:val="0"/>
      <w:marBottom w:val="0"/>
      <w:divBdr>
        <w:top w:val="none" w:sz="0" w:space="0" w:color="auto"/>
        <w:left w:val="none" w:sz="0" w:space="0" w:color="auto"/>
        <w:bottom w:val="none" w:sz="0" w:space="0" w:color="auto"/>
        <w:right w:val="none" w:sz="0" w:space="0" w:color="auto"/>
      </w:divBdr>
    </w:div>
    <w:div w:id="403650611">
      <w:bodyDiv w:val="1"/>
      <w:marLeft w:val="0"/>
      <w:marRight w:val="0"/>
      <w:marTop w:val="0"/>
      <w:marBottom w:val="0"/>
      <w:divBdr>
        <w:top w:val="none" w:sz="0" w:space="0" w:color="auto"/>
        <w:left w:val="none" w:sz="0" w:space="0" w:color="auto"/>
        <w:bottom w:val="none" w:sz="0" w:space="0" w:color="auto"/>
        <w:right w:val="none" w:sz="0" w:space="0" w:color="auto"/>
      </w:divBdr>
    </w:div>
    <w:div w:id="617640838">
      <w:bodyDiv w:val="1"/>
      <w:marLeft w:val="0"/>
      <w:marRight w:val="0"/>
      <w:marTop w:val="0"/>
      <w:marBottom w:val="0"/>
      <w:divBdr>
        <w:top w:val="none" w:sz="0" w:space="0" w:color="auto"/>
        <w:left w:val="none" w:sz="0" w:space="0" w:color="auto"/>
        <w:bottom w:val="none" w:sz="0" w:space="0" w:color="auto"/>
        <w:right w:val="none" w:sz="0" w:space="0" w:color="auto"/>
      </w:divBdr>
    </w:div>
    <w:div w:id="638803677">
      <w:bodyDiv w:val="1"/>
      <w:marLeft w:val="0"/>
      <w:marRight w:val="0"/>
      <w:marTop w:val="0"/>
      <w:marBottom w:val="0"/>
      <w:divBdr>
        <w:top w:val="none" w:sz="0" w:space="0" w:color="auto"/>
        <w:left w:val="none" w:sz="0" w:space="0" w:color="auto"/>
        <w:bottom w:val="none" w:sz="0" w:space="0" w:color="auto"/>
        <w:right w:val="none" w:sz="0" w:space="0" w:color="auto"/>
      </w:divBdr>
    </w:div>
    <w:div w:id="697585040">
      <w:bodyDiv w:val="1"/>
      <w:marLeft w:val="0"/>
      <w:marRight w:val="0"/>
      <w:marTop w:val="0"/>
      <w:marBottom w:val="0"/>
      <w:divBdr>
        <w:top w:val="none" w:sz="0" w:space="0" w:color="auto"/>
        <w:left w:val="none" w:sz="0" w:space="0" w:color="auto"/>
        <w:bottom w:val="none" w:sz="0" w:space="0" w:color="auto"/>
        <w:right w:val="none" w:sz="0" w:space="0" w:color="auto"/>
      </w:divBdr>
    </w:div>
    <w:div w:id="841897906">
      <w:bodyDiv w:val="1"/>
      <w:marLeft w:val="0"/>
      <w:marRight w:val="0"/>
      <w:marTop w:val="0"/>
      <w:marBottom w:val="0"/>
      <w:divBdr>
        <w:top w:val="none" w:sz="0" w:space="0" w:color="auto"/>
        <w:left w:val="none" w:sz="0" w:space="0" w:color="auto"/>
        <w:bottom w:val="none" w:sz="0" w:space="0" w:color="auto"/>
        <w:right w:val="none" w:sz="0" w:space="0" w:color="auto"/>
      </w:divBdr>
    </w:div>
    <w:div w:id="1173715747">
      <w:bodyDiv w:val="1"/>
      <w:marLeft w:val="0"/>
      <w:marRight w:val="0"/>
      <w:marTop w:val="0"/>
      <w:marBottom w:val="0"/>
      <w:divBdr>
        <w:top w:val="none" w:sz="0" w:space="0" w:color="auto"/>
        <w:left w:val="none" w:sz="0" w:space="0" w:color="auto"/>
        <w:bottom w:val="none" w:sz="0" w:space="0" w:color="auto"/>
        <w:right w:val="none" w:sz="0" w:space="0" w:color="auto"/>
      </w:divBdr>
    </w:div>
    <w:div w:id="1200818539">
      <w:bodyDiv w:val="1"/>
      <w:marLeft w:val="0"/>
      <w:marRight w:val="0"/>
      <w:marTop w:val="0"/>
      <w:marBottom w:val="0"/>
      <w:divBdr>
        <w:top w:val="none" w:sz="0" w:space="0" w:color="auto"/>
        <w:left w:val="none" w:sz="0" w:space="0" w:color="auto"/>
        <w:bottom w:val="none" w:sz="0" w:space="0" w:color="auto"/>
        <w:right w:val="none" w:sz="0" w:space="0" w:color="auto"/>
      </w:divBdr>
    </w:div>
    <w:div w:id="1209801114">
      <w:bodyDiv w:val="1"/>
      <w:marLeft w:val="0"/>
      <w:marRight w:val="0"/>
      <w:marTop w:val="0"/>
      <w:marBottom w:val="0"/>
      <w:divBdr>
        <w:top w:val="none" w:sz="0" w:space="0" w:color="auto"/>
        <w:left w:val="none" w:sz="0" w:space="0" w:color="auto"/>
        <w:bottom w:val="none" w:sz="0" w:space="0" w:color="auto"/>
        <w:right w:val="none" w:sz="0" w:space="0" w:color="auto"/>
      </w:divBdr>
    </w:div>
    <w:div w:id="1318151642">
      <w:bodyDiv w:val="1"/>
      <w:marLeft w:val="0"/>
      <w:marRight w:val="0"/>
      <w:marTop w:val="0"/>
      <w:marBottom w:val="0"/>
      <w:divBdr>
        <w:top w:val="none" w:sz="0" w:space="0" w:color="auto"/>
        <w:left w:val="none" w:sz="0" w:space="0" w:color="auto"/>
        <w:bottom w:val="none" w:sz="0" w:space="0" w:color="auto"/>
        <w:right w:val="none" w:sz="0" w:space="0" w:color="auto"/>
      </w:divBdr>
    </w:div>
    <w:div w:id="1537891564">
      <w:bodyDiv w:val="1"/>
      <w:marLeft w:val="0"/>
      <w:marRight w:val="0"/>
      <w:marTop w:val="0"/>
      <w:marBottom w:val="0"/>
      <w:divBdr>
        <w:top w:val="none" w:sz="0" w:space="0" w:color="auto"/>
        <w:left w:val="none" w:sz="0" w:space="0" w:color="auto"/>
        <w:bottom w:val="none" w:sz="0" w:space="0" w:color="auto"/>
        <w:right w:val="none" w:sz="0" w:space="0" w:color="auto"/>
      </w:divBdr>
    </w:div>
    <w:div w:id="1690329039">
      <w:bodyDiv w:val="1"/>
      <w:marLeft w:val="0"/>
      <w:marRight w:val="0"/>
      <w:marTop w:val="0"/>
      <w:marBottom w:val="0"/>
      <w:divBdr>
        <w:top w:val="none" w:sz="0" w:space="0" w:color="auto"/>
        <w:left w:val="none" w:sz="0" w:space="0" w:color="auto"/>
        <w:bottom w:val="none" w:sz="0" w:space="0" w:color="auto"/>
        <w:right w:val="none" w:sz="0" w:space="0" w:color="auto"/>
      </w:divBdr>
    </w:div>
    <w:div w:id="1839617485">
      <w:bodyDiv w:val="1"/>
      <w:marLeft w:val="0"/>
      <w:marRight w:val="0"/>
      <w:marTop w:val="0"/>
      <w:marBottom w:val="0"/>
      <w:divBdr>
        <w:top w:val="none" w:sz="0" w:space="0" w:color="auto"/>
        <w:left w:val="none" w:sz="0" w:space="0" w:color="auto"/>
        <w:bottom w:val="none" w:sz="0" w:space="0" w:color="auto"/>
        <w:right w:val="none" w:sz="0" w:space="0" w:color="auto"/>
      </w:divBdr>
    </w:div>
    <w:div w:id="1856186275">
      <w:bodyDiv w:val="1"/>
      <w:marLeft w:val="0"/>
      <w:marRight w:val="0"/>
      <w:marTop w:val="0"/>
      <w:marBottom w:val="0"/>
      <w:divBdr>
        <w:top w:val="none" w:sz="0" w:space="0" w:color="auto"/>
        <w:left w:val="none" w:sz="0" w:space="0" w:color="auto"/>
        <w:bottom w:val="none" w:sz="0" w:space="0" w:color="auto"/>
        <w:right w:val="none" w:sz="0" w:space="0" w:color="auto"/>
      </w:divBdr>
    </w:div>
    <w:div w:id="19416441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k91kbs@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E1E4E-8EC0-41DE-8705-B242DF41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Pages>
  <Words>970</Words>
  <Characters>5534</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KBS-1</dc:creator>
  <cp:keywords/>
  <dc:description/>
  <cp:lastModifiedBy>KBS-6</cp:lastModifiedBy>
  <cp:revision>5</cp:revision>
  <dcterms:created xsi:type="dcterms:W3CDTF">2022-08-31T09:51:00Z</dcterms:created>
  <dcterms:modified xsi:type="dcterms:W3CDTF">2023-09-01T13:04:00Z</dcterms:modified>
</cp:coreProperties>
</file>